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государственной гражданской службы</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государственной гражданской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«Зарубежный опыт государственной гражданской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государственной гражданской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«Зарубежный опыт государственной гражданской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Зарубежный опыт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Принципы и особенности государственного и муниципального управления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и особенности государственного и местного управления в ФРГ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Принципы и особенности государственного и местного управления во Франции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Организационно-правовые основы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Реформа государственной службы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Прохождение государственной службы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адаптации западного опыта госслужбы к условиям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87.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учебной дисциплины «Зарубежный опыт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Объект, предмет, методы и функции дисциплины.</w:t>
            </w:r>
          </w:p>
          <w:p>
            <w:pPr>
              <w:jc w:val="both"/>
              <w:spacing w:after="0" w:line="240" w:lineRule="auto"/>
              <w:rPr>
                <w:sz w:val="24"/>
                <w:szCs w:val="24"/>
              </w:rPr>
            </w:pPr>
            <w:r>
              <w:rPr>
                <w:rFonts w:ascii="Times New Roman" w:hAnsi="Times New Roman" w:cs="Times New Roman"/>
                <w:color w:val="#000000"/>
                <w:sz w:val="24"/>
                <w:szCs w:val="24"/>
              </w:rPr>
              <w:t> 3 Основные исторические вехи развития института государственной службы, методология и научные школы государственного управления и государственной службы (бюрократии)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США</w:t>
            </w:r>
          </w:p>
          <w:p>
            <w:pPr>
              <w:jc w:val="both"/>
              <w:spacing w:after="0" w:line="240" w:lineRule="auto"/>
              <w:rPr>
                <w:sz w:val="24"/>
                <w:szCs w:val="24"/>
              </w:rPr>
            </w:pPr>
            <w:r>
              <w:rPr>
                <w:rFonts w:ascii="Times New Roman" w:hAnsi="Times New Roman" w:cs="Times New Roman"/>
                <w:color w:val="#000000"/>
                <w:sz w:val="24"/>
                <w:szCs w:val="24"/>
              </w:rPr>
              <w:t> 2 Исполнительная ветвь власти. Кабинет Президента</w:t>
            </w:r>
          </w:p>
          <w:p>
            <w:pPr>
              <w:jc w:val="both"/>
              <w:spacing w:after="0" w:line="240" w:lineRule="auto"/>
              <w:rPr>
                <w:sz w:val="24"/>
                <w:szCs w:val="24"/>
              </w:rPr>
            </w:pPr>
            <w:r>
              <w:rPr>
                <w:rFonts w:ascii="Times New Roman" w:hAnsi="Times New Roman" w:cs="Times New Roman"/>
                <w:color w:val="#000000"/>
                <w:sz w:val="24"/>
                <w:szCs w:val="24"/>
              </w:rPr>
              <w:t> 3 Законодательная ветвь власти. Конгресс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государственного управления в ФРГ</w:t>
            </w:r>
          </w:p>
          <w:p>
            <w:pPr>
              <w:jc w:val="both"/>
              <w:spacing w:after="0" w:line="240" w:lineRule="auto"/>
              <w:rPr>
                <w:sz w:val="24"/>
                <w:szCs w:val="24"/>
              </w:rPr>
            </w:pPr>
            <w:r>
              <w:rPr>
                <w:rFonts w:ascii="Times New Roman" w:hAnsi="Times New Roman" w:cs="Times New Roman"/>
                <w:color w:val="#000000"/>
                <w:sz w:val="24"/>
                <w:szCs w:val="24"/>
              </w:rPr>
              <w:t> 2 Бундестат (союзный совет)</w:t>
            </w:r>
          </w:p>
          <w:p>
            <w:pPr>
              <w:jc w:val="both"/>
              <w:spacing w:after="0" w:line="240" w:lineRule="auto"/>
              <w:rPr>
                <w:sz w:val="24"/>
                <w:szCs w:val="24"/>
              </w:rPr>
            </w:pPr>
            <w:r>
              <w:rPr>
                <w:rFonts w:ascii="Times New Roman" w:hAnsi="Times New Roman" w:cs="Times New Roman"/>
                <w:color w:val="#000000"/>
                <w:sz w:val="24"/>
                <w:szCs w:val="24"/>
              </w:rPr>
              <w:t> 3 Бундестаг (союзное собрание)</w:t>
            </w:r>
          </w:p>
          <w:p>
            <w:pPr>
              <w:jc w:val="both"/>
              <w:spacing w:after="0" w:line="240" w:lineRule="auto"/>
              <w:rPr>
                <w:sz w:val="24"/>
                <w:szCs w:val="24"/>
              </w:rPr>
            </w:pPr>
            <w:r>
              <w:rPr>
                <w:rFonts w:ascii="Times New Roman" w:hAnsi="Times New Roman" w:cs="Times New Roman"/>
                <w:color w:val="#000000"/>
                <w:sz w:val="24"/>
                <w:szCs w:val="24"/>
              </w:rPr>
              <w:t> 4 Федеральный канцлер, федеральное правительство, президент, счетная палата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Единая система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ветвь власти во Франции: парламент, национальное собрание, сенат</w:t>
            </w:r>
          </w:p>
          <w:p>
            <w:pPr>
              <w:jc w:val="both"/>
              <w:spacing w:after="0" w:line="240" w:lineRule="auto"/>
              <w:rPr>
                <w:sz w:val="24"/>
                <w:szCs w:val="24"/>
              </w:rPr>
            </w:pPr>
            <w:r>
              <w:rPr>
                <w:rFonts w:ascii="Times New Roman" w:hAnsi="Times New Roman" w:cs="Times New Roman"/>
                <w:color w:val="#000000"/>
                <w:sz w:val="24"/>
                <w:szCs w:val="24"/>
              </w:rPr>
              <w:t> 3 Исполнительная ветвь власти во Франции: правительство, президент, премьер министр, кабинет министров</w:t>
            </w:r>
          </w:p>
          <w:p>
            <w:pPr>
              <w:jc w:val="both"/>
              <w:spacing w:after="0" w:line="240" w:lineRule="auto"/>
              <w:rPr>
                <w:sz w:val="24"/>
                <w:szCs w:val="24"/>
              </w:rPr>
            </w:pPr>
            <w:r>
              <w:rPr>
                <w:rFonts w:ascii="Times New Roman" w:hAnsi="Times New Roman" w:cs="Times New Roman"/>
                <w:color w:val="#000000"/>
                <w:sz w:val="24"/>
                <w:szCs w:val="24"/>
              </w:rPr>
              <w:t> 4 Глава государства (Великобритании) королева.</w:t>
            </w:r>
          </w:p>
          <w:p>
            <w:pPr>
              <w:jc w:val="both"/>
              <w:spacing w:after="0" w:line="240" w:lineRule="auto"/>
              <w:rPr>
                <w:sz w:val="24"/>
                <w:szCs w:val="24"/>
              </w:rPr>
            </w:pPr>
            <w:r>
              <w:rPr>
                <w:rFonts w:ascii="Times New Roman" w:hAnsi="Times New Roman" w:cs="Times New Roman"/>
                <w:color w:val="#000000"/>
                <w:sz w:val="24"/>
                <w:szCs w:val="24"/>
              </w:rPr>
              <w:t> 5 Законодательная ветвь власти в Великобритании: Парламент, Палата лордов, Палата общин</w:t>
            </w:r>
          </w:p>
          <w:p>
            <w:pPr>
              <w:jc w:val="both"/>
              <w:spacing w:after="0" w:line="240" w:lineRule="auto"/>
              <w:rPr>
                <w:sz w:val="24"/>
                <w:szCs w:val="24"/>
              </w:rPr>
            </w:pPr>
            <w:r>
              <w:rPr>
                <w:rFonts w:ascii="Times New Roman" w:hAnsi="Times New Roman" w:cs="Times New Roman"/>
                <w:color w:val="#000000"/>
                <w:sz w:val="24"/>
                <w:szCs w:val="24"/>
              </w:rPr>
              <w:t> 6 Исполнительная ветвь власти в Великобритании: Премьер-министр, правительство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государственных органов и учреждений</w:t>
            </w:r>
          </w:p>
          <w:p>
            <w:pPr>
              <w:jc w:val="both"/>
              <w:spacing w:after="0" w:line="240" w:lineRule="auto"/>
              <w:rPr>
                <w:sz w:val="24"/>
                <w:szCs w:val="24"/>
              </w:rPr>
            </w:pPr>
            <w:r>
              <w:rPr>
                <w:rFonts w:ascii="Times New Roman" w:hAnsi="Times New Roman" w:cs="Times New Roman"/>
                <w:color w:val="#000000"/>
                <w:sz w:val="24"/>
                <w:szCs w:val="24"/>
              </w:rPr>
              <w:t> 2 Законодательство о государственной службе в зарубежных странах.</w:t>
            </w:r>
          </w:p>
          <w:p>
            <w:pPr>
              <w:jc w:val="both"/>
              <w:spacing w:after="0" w:line="240" w:lineRule="auto"/>
              <w:rPr>
                <w:sz w:val="24"/>
                <w:szCs w:val="24"/>
              </w:rPr>
            </w:pPr>
            <w:r>
              <w:rPr>
                <w:rFonts w:ascii="Times New Roman" w:hAnsi="Times New Roman" w:cs="Times New Roman"/>
                <w:color w:val="#000000"/>
                <w:sz w:val="24"/>
                <w:szCs w:val="24"/>
              </w:rPr>
              <w:t> 3 Общая схема организации и виды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4 Организация управления государственной службой.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Бюрократия и бюрократизм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Рациональная бюрократия и государственная служба.</w:t>
            </w:r>
          </w:p>
          <w:p>
            <w:pPr>
              <w:jc w:val="both"/>
              <w:spacing w:after="0" w:line="240" w:lineRule="auto"/>
              <w:rPr>
                <w:sz w:val="24"/>
                <w:szCs w:val="24"/>
              </w:rPr>
            </w:pPr>
            <w:r>
              <w:rPr>
                <w:rFonts w:ascii="Times New Roman" w:hAnsi="Times New Roman" w:cs="Times New Roman"/>
                <w:color w:val="#000000"/>
                <w:sz w:val="24"/>
                <w:szCs w:val="24"/>
              </w:rPr>
              <w:t> 3 Основные пути преодоления бюрократизма в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4 Опыт реформирования государственной службы за рубежом</w:t>
            </w:r>
          </w:p>
          <w:p>
            <w:pPr>
              <w:jc w:val="both"/>
              <w:spacing w:after="0" w:line="240" w:lineRule="auto"/>
              <w:rPr>
                <w:sz w:val="24"/>
                <w:szCs w:val="24"/>
              </w:rPr>
            </w:pPr>
            <w:r>
              <w:rPr>
                <w:rFonts w:ascii="Times New Roman" w:hAnsi="Times New Roman" w:cs="Times New Roman"/>
                <w:color w:val="#000000"/>
                <w:sz w:val="24"/>
                <w:szCs w:val="24"/>
              </w:rPr>
              <w:t> 5 Этика в системе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6 Основные направления борьбы с коррупцией на государственной службе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2 Испытательный срок.</w:t>
            </w:r>
          </w:p>
          <w:p>
            <w:pPr>
              <w:jc w:val="both"/>
              <w:spacing w:after="0" w:line="240" w:lineRule="auto"/>
              <w:rPr>
                <w:sz w:val="24"/>
                <w:szCs w:val="24"/>
              </w:rPr>
            </w:pPr>
            <w:r>
              <w:rPr>
                <w:rFonts w:ascii="Times New Roman" w:hAnsi="Times New Roman" w:cs="Times New Roman"/>
                <w:color w:val="#000000"/>
                <w:sz w:val="24"/>
                <w:szCs w:val="24"/>
              </w:rPr>
              <w:t> 3 Виды назначение на государственную службу.</w:t>
            </w:r>
          </w:p>
          <w:p>
            <w:pPr>
              <w:jc w:val="both"/>
              <w:spacing w:after="0" w:line="240" w:lineRule="auto"/>
              <w:rPr>
                <w:sz w:val="24"/>
                <w:szCs w:val="24"/>
              </w:rPr>
            </w:pPr>
            <w:r>
              <w:rPr>
                <w:rFonts w:ascii="Times New Roman" w:hAnsi="Times New Roman" w:cs="Times New Roman"/>
                <w:color w:val="#000000"/>
                <w:sz w:val="24"/>
                <w:szCs w:val="24"/>
              </w:rPr>
              <w:t> 4 Обучение государственных служащих.</w:t>
            </w:r>
          </w:p>
          <w:p>
            <w:pPr>
              <w:jc w:val="both"/>
              <w:spacing w:after="0" w:line="240" w:lineRule="auto"/>
              <w:rPr>
                <w:sz w:val="24"/>
                <w:szCs w:val="24"/>
              </w:rPr>
            </w:pPr>
            <w:r>
              <w:rPr>
                <w:rFonts w:ascii="Times New Roman" w:hAnsi="Times New Roman" w:cs="Times New Roman"/>
                <w:color w:val="#000000"/>
                <w:sz w:val="24"/>
                <w:szCs w:val="24"/>
              </w:rPr>
              <w:t> 5 Критерии продвижения по службе в различных странах.</w:t>
            </w:r>
          </w:p>
          <w:p>
            <w:pPr>
              <w:jc w:val="both"/>
              <w:spacing w:after="0" w:line="240" w:lineRule="auto"/>
              <w:rPr>
                <w:sz w:val="24"/>
                <w:szCs w:val="24"/>
              </w:rPr>
            </w:pPr>
            <w:r>
              <w:rPr>
                <w:rFonts w:ascii="Times New Roman" w:hAnsi="Times New Roman" w:cs="Times New Roman"/>
                <w:color w:val="#000000"/>
                <w:sz w:val="24"/>
                <w:szCs w:val="24"/>
              </w:rPr>
              <w:t> 6 Денежное содержание государственного служащего.</w:t>
            </w:r>
          </w:p>
          <w:p>
            <w:pPr>
              <w:jc w:val="both"/>
              <w:spacing w:after="0" w:line="240" w:lineRule="auto"/>
              <w:rPr>
                <w:sz w:val="24"/>
                <w:szCs w:val="24"/>
              </w:rPr>
            </w:pPr>
            <w:r>
              <w:rPr>
                <w:rFonts w:ascii="Times New Roman" w:hAnsi="Times New Roman" w:cs="Times New Roman"/>
                <w:color w:val="#000000"/>
                <w:sz w:val="24"/>
                <w:szCs w:val="24"/>
              </w:rPr>
              <w:t> 7 Карьерное продвижение государственных служащих за рубежом.</w:t>
            </w:r>
          </w:p>
          <w:p>
            <w:pPr>
              <w:jc w:val="both"/>
              <w:spacing w:after="0" w:line="240" w:lineRule="auto"/>
              <w:rPr>
                <w:sz w:val="24"/>
                <w:szCs w:val="24"/>
              </w:rPr>
            </w:pPr>
            <w:r>
              <w:rPr>
                <w:rFonts w:ascii="Times New Roman" w:hAnsi="Times New Roman" w:cs="Times New Roman"/>
                <w:color w:val="#000000"/>
                <w:sz w:val="24"/>
                <w:szCs w:val="24"/>
              </w:rPr>
              <w:t> 8 Ротация. «Система добычи» и «система заслуг».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2 Принципы изучения западного опыта организации и функционирования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Методы изучения зарубежного опыта.</w:t>
            </w:r>
          </w:p>
          <w:p>
            <w:pPr>
              <w:jc w:val="both"/>
              <w:spacing w:after="0" w:line="240" w:lineRule="auto"/>
              <w:rPr>
                <w:sz w:val="24"/>
                <w:szCs w:val="24"/>
              </w:rPr>
            </w:pPr>
            <w:r>
              <w:rPr>
                <w:rFonts w:ascii="Times New Roman" w:hAnsi="Times New Roman" w:cs="Times New Roman"/>
                <w:color w:val="#000000"/>
                <w:sz w:val="24"/>
                <w:szCs w:val="24"/>
              </w:rPr>
              <w:t> 4 Международное сотрудничество в области реформирования и функционирования государственной службы.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Зарубежный опыт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института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Принципы и особенности государственного и муниципального управления в США.</w:t>
            </w:r>
          </w:p>
        </w:tc>
      </w:tr>
      <w:tr>
        <w:trPr>
          <w:trHeight w:hRule="exact" w:val="21.31518"/>
        </w:trPr>
        <w:tc>
          <w:tcPr>
            <w:tcW w:w="9640" w:type="dxa"/>
          </w:tcPr>
          <w:p/>
        </w:tc>
      </w:tr>
      <w:tr>
        <w:trPr>
          <w:trHeight w:hRule="exact" w:val="2359.0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разделения властей, народного суверенитета, верховенства закона и правовой государственности, эффективной судебной системы контроля, централизма и федерализма.</w:t>
            </w:r>
          </w:p>
          <w:p>
            <w:pPr>
              <w:jc w:val="left"/>
              <w:spacing w:after="0" w:line="240" w:lineRule="auto"/>
              <w:rPr>
                <w:sz w:val="24"/>
                <w:szCs w:val="24"/>
              </w:rPr>
            </w:pPr>
            <w:r>
              <w:rPr>
                <w:rFonts w:ascii="Times New Roman" w:hAnsi="Times New Roman" w:cs="Times New Roman"/>
                <w:color w:val="#000000"/>
                <w:sz w:val="24"/>
                <w:szCs w:val="24"/>
              </w:rPr>
              <w:t> 2 Конституция США</w:t>
            </w:r>
          </w:p>
          <w:p>
            <w:pPr>
              <w:jc w:val="left"/>
              <w:spacing w:after="0" w:line="240" w:lineRule="auto"/>
              <w:rPr>
                <w:sz w:val="24"/>
                <w:szCs w:val="24"/>
              </w:rPr>
            </w:pPr>
            <w:r>
              <w:rPr>
                <w:rFonts w:ascii="Times New Roman" w:hAnsi="Times New Roman" w:cs="Times New Roman"/>
                <w:color w:val="#000000"/>
                <w:sz w:val="24"/>
                <w:szCs w:val="24"/>
              </w:rPr>
              <w:t> 3 Основные документы, определяющие режим Президентской республики.</w:t>
            </w:r>
          </w:p>
          <w:p>
            <w:pPr>
              <w:jc w:val="left"/>
              <w:spacing w:after="0" w:line="240" w:lineRule="auto"/>
              <w:rPr>
                <w:sz w:val="24"/>
                <w:szCs w:val="24"/>
              </w:rPr>
            </w:pPr>
            <w:r>
              <w:rPr>
                <w:rFonts w:ascii="Times New Roman" w:hAnsi="Times New Roman" w:cs="Times New Roman"/>
                <w:color w:val="#000000"/>
                <w:sz w:val="24"/>
                <w:szCs w:val="24"/>
              </w:rPr>
              <w:t> 4 Конгресс США и его роль в системе госуправления: роль Сената и Палаты представителей.</w:t>
            </w:r>
          </w:p>
          <w:p>
            <w:pPr>
              <w:jc w:val="left"/>
              <w:spacing w:after="0" w:line="240" w:lineRule="auto"/>
              <w:rPr>
                <w:sz w:val="24"/>
                <w:szCs w:val="24"/>
              </w:rPr>
            </w:pPr>
            <w:r>
              <w:rPr>
                <w:rFonts w:ascii="Times New Roman" w:hAnsi="Times New Roman" w:cs="Times New Roman"/>
                <w:color w:val="#000000"/>
                <w:sz w:val="24"/>
                <w:szCs w:val="24"/>
              </w:rPr>
              <w:t> 5 Президент США и Исполнительное управление президента.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Институт Вице-президента. Механизм системы сдержек и противовесов.</w:t>
            </w:r>
          </w:p>
          <w:p>
            <w:pPr>
              <w:jc w:val="left"/>
              <w:spacing w:after="0" w:line="240" w:lineRule="auto"/>
              <w:rPr>
                <w:sz w:val="24"/>
                <w:szCs w:val="24"/>
              </w:rPr>
            </w:pPr>
            <w:r>
              <w:rPr>
                <w:rFonts w:ascii="Times New Roman" w:hAnsi="Times New Roman" w:cs="Times New Roman"/>
                <w:color w:val="#000000"/>
                <w:sz w:val="24"/>
                <w:szCs w:val="24"/>
              </w:rPr>
              <w:t> 7 Программа реформирования структур государственного управления А.Гора.</w:t>
            </w:r>
          </w:p>
          <w:p>
            <w:pPr>
              <w:jc w:val="left"/>
              <w:spacing w:after="0" w:line="240" w:lineRule="auto"/>
              <w:rPr>
                <w:sz w:val="24"/>
                <w:szCs w:val="24"/>
              </w:rPr>
            </w:pPr>
            <w:r>
              <w:rPr>
                <w:rFonts w:ascii="Times New Roman" w:hAnsi="Times New Roman" w:cs="Times New Roman"/>
                <w:color w:val="#000000"/>
                <w:sz w:val="24"/>
                <w:szCs w:val="24"/>
              </w:rPr>
              <w:t> 8 Качественные характеристики Центрального Аппарата государственного управления США: уровни и их соотношение.</w:t>
            </w:r>
          </w:p>
          <w:p>
            <w:pPr>
              <w:jc w:val="left"/>
              <w:spacing w:after="0" w:line="240" w:lineRule="auto"/>
              <w:rPr>
                <w:sz w:val="24"/>
                <w:szCs w:val="24"/>
              </w:rPr>
            </w:pPr>
            <w:r>
              <w:rPr>
                <w:rFonts w:ascii="Times New Roman" w:hAnsi="Times New Roman" w:cs="Times New Roman"/>
                <w:color w:val="#000000"/>
                <w:sz w:val="24"/>
                <w:szCs w:val="24"/>
              </w:rPr>
              <w:t> 9 Функционально-отраслевой принцип организации системы Министерств и Ведомств.</w:t>
            </w:r>
          </w:p>
          <w:p>
            <w:pPr>
              <w:jc w:val="left"/>
              <w:spacing w:after="0" w:line="240" w:lineRule="auto"/>
              <w:rPr>
                <w:sz w:val="24"/>
                <w:szCs w:val="24"/>
              </w:rPr>
            </w:pPr>
            <w:r>
              <w:rPr>
                <w:rFonts w:ascii="Times New Roman" w:hAnsi="Times New Roman" w:cs="Times New Roman"/>
                <w:color w:val="#000000"/>
                <w:sz w:val="24"/>
                <w:szCs w:val="24"/>
              </w:rPr>
              <w:t> 10 Проблемы координации, специализации и иерархического контроля.</w:t>
            </w:r>
          </w:p>
          <w:p>
            <w:pPr>
              <w:jc w:val="left"/>
              <w:spacing w:after="0" w:line="240" w:lineRule="auto"/>
              <w:rPr>
                <w:sz w:val="24"/>
                <w:szCs w:val="24"/>
              </w:rPr>
            </w:pPr>
            <w:r>
              <w:rPr>
                <w:rFonts w:ascii="Times New Roman" w:hAnsi="Times New Roman" w:cs="Times New Roman"/>
                <w:color w:val="#000000"/>
                <w:sz w:val="24"/>
                <w:szCs w:val="24"/>
              </w:rPr>
              <w:t> 11Кабинет министров и его функциональная специфика.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и особенности государственного и местного управления в ФРГ</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режима государственной власти и управления в парламентарной республике.</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государственного управления в ФРГ: администрирующей государственности, социального партнерства, приглушенного парламентаризма.</w:t>
            </w:r>
          </w:p>
          <w:p>
            <w:pPr>
              <w:jc w:val="left"/>
              <w:spacing w:after="0" w:line="240" w:lineRule="auto"/>
              <w:rPr>
                <w:sz w:val="24"/>
                <w:szCs w:val="24"/>
              </w:rPr>
            </w:pPr>
            <w:r>
              <w:rPr>
                <w:rFonts w:ascii="Times New Roman" w:hAnsi="Times New Roman" w:cs="Times New Roman"/>
                <w:color w:val="#000000"/>
                <w:sz w:val="24"/>
                <w:szCs w:val="24"/>
              </w:rPr>
              <w:t> 3 Канцлерского правления.</w:t>
            </w:r>
          </w:p>
          <w:p>
            <w:pPr>
              <w:jc w:val="left"/>
              <w:spacing w:after="0" w:line="240" w:lineRule="auto"/>
              <w:rPr>
                <w:sz w:val="24"/>
                <w:szCs w:val="24"/>
              </w:rPr>
            </w:pPr>
            <w:r>
              <w:rPr>
                <w:rFonts w:ascii="Times New Roman" w:hAnsi="Times New Roman" w:cs="Times New Roman"/>
                <w:color w:val="#000000"/>
                <w:sz w:val="24"/>
                <w:szCs w:val="24"/>
              </w:rPr>
              <w:t> 4 Роль и функции Бундестага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Канцлер и исполнительная власть.</w:t>
            </w:r>
          </w:p>
          <w:p>
            <w:pPr>
              <w:jc w:val="left"/>
              <w:spacing w:after="0" w:line="240" w:lineRule="auto"/>
              <w:rPr>
                <w:sz w:val="24"/>
                <w:szCs w:val="24"/>
              </w:rPr>
            </w:pPr>
            <w:r>
              <w:rPr>
                <w:rFonts w:ascii="Times New Roman" w:hAnsi="Times New Roman" w:cs="Times New Roman"/>
                <w:color w:val="#000000"/>
                <w:sz w:val="24"/>
                <w:szCs w:val="24"/>
              </w:rPr>
              <w:t> 6 Президент ФРГ как глава государства.</w:t>
            </w:r>
          </w:p>
          <w:p>
            <w:pPr>
              <w:jc w:val="left"/>
              <w:spacing w:after="0" w:line="240" w:lineRule="auto"/>
              <w:rPr>
                <w:sz w:val="24"/>
                <w:szCs w:val="24"/>
              </w:rPr>
            </w:pPr>
            <w:r>
              <w:rPr>
                <w:rFonts w:ascii="Times New Roman" w:hAnsi="Times New Roman" w:cs="Times New Roman"/>
                <w:color w:val="#000000"/>
                <w:sz w:val="24"/>
                <w:szCs w:val="24"/>
              </w:rPr>
              <w:t> 7 Категории и роль министров.</w:t>
            </w:r>
          </w:p>
          <w:p>
            <w:pPr>
              <w:jc w:val="left"/>
              <w:spacing w:after="0" w:line="240" w:lineRule="auto"/>
              <w:rPr>
                <w:sz w:val="24"/>
                <w:szCs w:val="24"/>
              </w:rPr>
            </w:pPr>
            <w:r>
              <w:rPr>
                <w:rFonts w:ascii="Times New Roman" w:hAnsi="Times New Roman" w:cs="Times New Roman"/>
                <w:color w:val="#000000"/>
                <w:sz w:val="24"/>
                <w:szCs w:val="24"/>
              </w:rPr>
              <w:t> 8 Виды и классификация министров.</w:t>
            </w:r>
          </w:p>
          <w:p>
            <w:pPr>
              <w:jc w:val="left"/>
              <w:spacing w:after="0" w:line="240" w:lineRule="auto"/>
              <w:rPr>
                <w:sz w:val="24"/>
                <w:szCs w:val="24"/>
              </w:rPr>
            </w:pPr>
            <w:r>
              <w:rPr>
                <w:rFonts w:ascii="Times New Roman" w:hAnsi="Times New Roman" w:cs="Times New Roman"/>
                <w:color w:val="#000000"/>
                <w:sz w:val="24"/>
                <w:szCs w:val="24"/>
              </w:rPr>
              <w:t> 9 Проблемы реорганизации министерского управления.</w:t>
            </w:r>
          </w:p>
          <w:p>
            <w:pPr>
              <w:jc w:val="left"/>
              <w:spacing w:after="0" w:line="240" w:lineRule="auto"/>
              <w:rPr>
                <w:sz w:val="24"/>
                <w:szCs w:val="24"/>
              </w:rPr>
            </w:pPr>
            <w:r>
              <w:rPr>
                <w:rFonts w:ascii="Times New Roman" w:hAnsi="Times New Roman" w:cs="Times New Roman"/>
                <w:color w:val="#000000"/>
                <w:sz w:val="24"/>
                <w:szCs w:val="24"/>
              </w:rPr>
              <w:t> 10 Референтура и межминистерская координация: межминистерские комитеты и комиссии.</w:t>
            </w:r>
          </w:p>
          <w:p>
            <w:pPr>
              <w:jc w:val="left"/>
              <w:spacing w:after="0" w:line="240" w:lineRule="auto"/>
              <w:rPr>
                <w:sz w:val="24"/>
                <w:szCs w:val="24"/>
              </w:rPr>
            </w:pPr>
            <w:r>
              <w:rPr>
                <w:rFonts w:ascii="Times New Roman" w:hAnsi="Times New Roman" w:cs="Times New Roman"/>
                <w:color w:val="#000000"/>
                <w:sz w:val="24"/>
                <w:szCs w:val="24"/>
              </w:rPr>
              <w:t> 11 Принципы системности и целостности федерального уровня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Принципы и особенности государственного и местного управления во Франции и Великобритании</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Высшие структуры государственной власти и управления в странах.</w:t>
            </w:r>
          </w:p>
          <w:p>
            <w:pPr>
              <w:jc w:val="left"/>
              <w:spacing w:after="0" w:line="240" w:lineRule="auto"/>
              <w:rPr>
                <w:sz w:val="24"/>
                <w:szCs w:val="24"/>
              </w:rPr>
            </w:pPr>
            <w:r>
              <w:rPr>
                <w:rFonts w:ascii="Times New Roman" w:hAnsi="Times New Roman" w:cs="Times New Roman"/>
                <w:color w:val="#000000"/>
                <w:sz w:val="24"/>
                <w:szCs w:val="24"/>
              </w:rPr>
              <w:t> 2 Роль Конституции Франции для установления режима президентско-парламентарной республики.</w:t>
            </w:r>
          </w:p>
          <w:p>
            <w:pPr>
              <w:jc w:val="left"/>
              <w:spacing w:after="0" w:line="240" w:lineRule="auto"/>
              <w:rPr>
                <w:sz w:val="24"/>
                <w:szCs w:val="24"/>
              </w:rPr>
            </w:pPr>
            <w:r>
              <w:rPr>
                <w:rFonts w:ascii="Times New Roman" w:hAnsi="Times New Roman" w:cs="Times New Roman"/>
                <w:color w:val="#000000"/>
                <w:sz w:val="24"/>
                <w:szCs w:val="24"/>
              </w:rPr>
              <w:t> 3 Особенности законодательной власти во Франции и Великобритании.</w:t>
            </w:r>
          </w:p>
          <w:p>
            <w:pPr>
              <w:jc w:val="left"/>
              <w:spacing w:after="0" w:line="240" w:lineRule="auto"/>
              <w:rPr>
                <w:sz w:val="24"/>
                <w:szCs w:val="24"/>
              </w:rPr>
            </w:pPr>
            <w:r>
              <w:rPr>
                <w:rFonts w:ascii="Times New Roman" w:hAnsi="Times New Roman" w:cs="Times New Roman"/>
                <w:color w:val="#000000"/>
                <w:sz w:val="24"/>
                <w:szCs w:val="24"/>
              </w:rPr>
              <w:t> 4 Сенат и национальное собрание: функции и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5 Парламентские Комиссии и Парламентские представительства как органы контроля за исполнительной властью: многообразие и качественные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6 Конституционный Совет и его роль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7 Центральный аппарат: Президент, премьер министр и правительство.</w:t>
            </w:r>
          </w:p>
          <w:p>
            <w:pPr>
              <w:jc w:val="left"/>
              <w:spacing w:after="0" w:line="240" w:lineRule="auto"/>
              <w:rPr>
                <w:sz w:val="24"/>
                <w:szCs w:val="24"/>
              </w:rPr>
            </w:pPr>
            <w:r>
              <w:rPr>
                <w:rFonts w:ascii="Times New Roman" w:hAnsi="Times New Roman" w:cs="Times New Roman"/>
                <w:color w:val="#000000"/>
                <w:sz w:val="24"/>
                <w:szCs w:val="24"/>
              </w:rPr>
              <w:t> 8 Министерства и Дирекции.</w:t>
            </w:r>
          </w:p>
          <w:p>
            <w:pPr>
              <w:jc w:val="left"/>
              <w:spacing w:after="0" w:line="240" w:lineRule="auto"/>
              <w:rPr>
                <w:sz w:val="24"/>
                <w:szCs w:val="24"/>
              </w:rPr>
            </w:pPr>
            <w:r>
              <w:rPr>
                <w:rFonts w:ascii="Times New Roman" w:hAnsi="Times New Roman" w:cs="Times New Roman"/>
                <w:color w:val="#000000"/>
                <w:sz w:val="24"/>
                <w:szCs w:val="24"/>
              </w:rPr>
              <w:t> 9 Основные принципы и особенности государственного управления: отсутствие писаной Конституции, сохранение монархии, отделение политики от управления.</w:t>
            </w:r>
          </w:p>
          <w:p>
            <w:pPr>
              <w:jc w:val="left"/>
              <w:spacing w:after="0" w:line="240" w:lineRule="auto"/>
              <w:rPr>
                <w:sz w:val="24"/>
                <w:szCs w:val="24"/>
              </w:rPr>
            </w:pPr>
            <w:r>
              <w:rPr>
                <w:rFonts w:ascii="Times New Roman" w:hAnsi="Times New Roman" w:cs="Times New Roman"/>
                <w:color w:val="#000000"/>
                <w:sz w:val="24"/>
                <w:szCs w:val="24"/>
              </w:rPr>
              <w:t> 10 Особенности законодательной власти и роль парламента в системе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11  Фактор правовой и судебной системы в обеспечении режима государственной власти и управления.</w:t>
            </w:r>
          </w:p>
          <w:p>
            <w:pPr>
              <w:jc w:val="left"/>
              <w:spacing w:after="0" w:line="240" w:lineRule="auto"/>
              <w:rPr>
                <w:sz w:val="24"/>
                <w:szCs w:val="24"/>
              </w:rPr>
            </w:pPr>
            <w:r>
              <w:rPr>
                <w:rFonts w:ascii="Times New Roman" w:hAnsi="Times New Roman" w:cs="Times New Roman"/>
                <w:color w:val="#000000"/>
                <w:sz w:val="24"/>
                <w:szCs w:val="24"/>
              </w:rPr>
              <w:t> 12 Роль института Короны: формальные и фактические полномочия монарха.</w:t>
            </w:r>
          </w:p>
          <w:p>
            <w:pPr>
              <w:jc w:val="left"/>
              <w:spacing w:after="0" w:line="240" w:lineRule="auto"/>
              <w:rPr>
                <w:sz w:val="24"/>
                <w:szCs w:val="24"/>
              </w:rPr>
            </w:pPr>
            <w:r>
              <w:rPr>
                <w:rFonts w:ascii="Times New Roman" w:hAnsi="Times New Roman" w:cs="Times New Roman"/>
                <w:color w:val="#000000"/>
                <w:sz w:val="24"/>
                <w:szCs w:val="24"/>
              </w:rPr>
              <w:t> 13 Роль премьер министра.</w:t>
            </w:r>
          </w:p>
          <w:p>
            <w:pPr>
              <w:jc w:val="left"/>
              <w:spacing w:after="0" w:line="240" w:lineRule="auto"/>
              <w:rPr>
                <w:sz w:val="24"/>
                <w:szCs w:val="24"/>
              </w:rPr>
            </w:pPr>
            <w:r>
              <w:rPr>
                <w:rFonts w:ascii="Times New Roman" w:hAnsi="Times New Roman" w:cs="Times New Roman"/>
                <w:color w:val="#000000"/>
                <w:sz w:val="24"/>
                <w:szCs w:val="24"/>
              </w:rPr>
              <w:t>  14 Особенности госслужбы и принципы политической ответственности, политической нейтральности в системе госуправления.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Организационно-правовые основы государственной службы за рубежом</w:t>
            </w:r>
          </w:p>
        </w:tc>
      </w:tr>
      <w:tr>
        <w:trPr>
          <w:trHeight w:hRule="exact" w:val="21.31518"/>
        </w:trPr>
        <w:tc>
          <w:tcPr>
            <w:tcW w:w="9640" w:type="dxa"/>
          </w:tcPr>
          <w:p/>
        </w:tc>
      </w:tr>
      <w:tr>
        <w:trPr>
          <w:trHeight w:hRule="exact" w:val="1786.3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государственного управления и государственной службы за рубежом.</w:t>
            </w:r>
          </w:p>
          <w:p>
            <w:pPr>
              <w:jc w:val="left"/>
              <w:spacing w:after="0" w:line="240" w:lineRule="auto"/>
              <w:rPr>
                <w:sz w:val="24"/>
                <w:szCs w:val="24"/>
              </w:rPr>
            </w:pPr>
            <w:r>
              <w:rPr>
                <w:rFonts w:ascii="Times New Roman" w:hAnsi="Times New Roman" w:cs="Times New Roman"/>
                <w:color w:val="#000000"/>
                <w:sz w:val="24"/>
                <w:szCs w:val="24"/>
              </w:rPr>
              <w:t> 2 Орган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3Общая характеристика законодательства в сфере государственной службы за рубежом: конституции, законы, кодексы, акты и пр.</w:t>
            </w:r>
          </w:p>
          <w:p>
            <w:pPr>
              <w:jc w:val="left"/>
              <w:spacing w:after="0" w:line="240" w:lineRule="auto"/>
              <w:rPr>
                <w:sz w:val="24"/>
                <w:szCs w:val="24"/>
              </w:rPr>
            </w:pPr>
            <w:r>
              <w:rPr>
                <w:rFonts w:ascii="Times New Roman" w:hAnsi="Times New Roman" w:cs="Times New Roman"/>
                <w:color w:val="#000000"/>
                <w:sz w:val="24"/>
                <w:szCs w:val="24"/>
              </w:rPr>
              <w:t> 4 Особенности правового обеспечения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5 Тенденции развития законодательства в области государственной службы за рубежом.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Уровни организации государственной службы в различных странах.</w:t>
            </w:r>
          </w:p>
          <w:p>
            <w:pPr>
              <w:jc w:val="left"/>
              <w:spacing w:after="0" w:line="240" w:lineRule="auto"/>
              <w:rPr>
                <w:sz w:val="24"/>
                <w:szCs w:val="24"/>
              </w:rPr>
            </w:pPr>
            <w:r>
              <w:rPr>
                <w:rFonts w:ascii="Times New Roman" w:hAnsi="Times New Roman" w:cs="Times New Roman"/>
                <w:color w:val="#000000"/>
                <w:sz w:val="24"/>
                <w:szCs w:val="24"/>
              </w:rPr>
              <w:t> 7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Управление государственной службой за рубежом.</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Реформа государственной службы в зарубежных странах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бюрократии и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2 Теория «рациональной бюрократии» М. Вебера.</w:t>
            </w:r>
          </w:p>
          <w:p>
            <w:pPr>
              <w:jc w:val="left"/>
              <w:spacing w:after="0" w:line="240" w:lineRule="auto"/>
              <w:rPr>
                <w:sz w:val="24"/>
                <w:szCs w:val="24"/>
              </w:rPr>
            </w:pPr>
            <w:r>
              <w:rPr>
                <w:rFonts w:ascii="Times New Roman" w:hAnsi="Times New Roman" w:cs="Times New Roman"/>
                <w:color w:val="#000000"/>
                <w:sz w:val="24"/>
                <w:szCs w:val="24"/>
              </w:rPr>
              <w:t> 3 «Азиатская модель»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4 Менеджмент и современные тенденции развития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Основные пути преодоления бюрократизма в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6 Реформа государственной службы за рубежом на примере различных стран: история, основные этапы, особенности и тенденции развития.</w:t>
            </w:r>
          </w:p>
          <w:p>
            <w:pPr>
              <w:jc w:val="left"/>
              <w:spacing w:after="0" w:line="240" w:lineRule="auto"/>
              <w:rPr>
                <w:sz w:val="24"/>
                <w:szCs w:val="24"/>
              </w:rPr>
            </w:pPr>
            <w:r>
              <w:rPr>
                <w:rFonts w:ascii="Times New Roman" w:hAnsi="Times New Roman" w:cs="Times New Roman"/>
                <w:color w:val="#000000"/>
                <w:sz w:val="24"/>
                <w:szCs w:val="24"/>
              </w:rPr>
              <w:t> 7Этическая инфраструктура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8 Этический кодекс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9 Законы о служебных разоблачениях.</w:t>
            </w:r>
          </w:p>
          <w:p>
            <w:pPr>
              <w:jc w:val="left"/>
              <w:spacing w:after="0" w:line="240" w:lineRule="auto"/>
              <w:rPr>
                <w:sz w:val="24"/>
                <w:szCs w:val="24"/>
              </w:rPr>
            </w:pPr>
            <w:r>
              <w:rPr>
                <w:rFonts w:ascii="Times New Roman" w:hAnsi="Times New Roman" w:cs="Times New Roman"/>
                <w:color w:val="#000000"/>
                <w:sz w:val="24"/>
                <w:szCs w:val="24"/>
              </w:rPr>
              <w:t> 10 Коррупция. Методы борьбы и преодоления проблемы коррупции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11 Антикоррупционное законодательство в сфере коррупции на государственной службе.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Прохождение государственной службы за рубежом</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Типология государственных должностей за рубежом.</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3 Квалифицированные разряды, чины, ранги и звания, порядок их присвоения.</w:t>
            </w:r>
          </w:p>
          <w:p>
            <w:pPr>
              <w:jc w:val="left"/>
              <w:spacing w:after="0" w:line="240" w:lineRule="auto"/>
              <w:rPr>
                <w:sz w:val="24"/>
                <w:szCs w:val="24"/>
              </w:rPr>
            </w:pPr>
            <w:r>
              <w:rPr>
                <w:rFonts w:ascii="Times New Roman" w:hAnsi="Times New Roman" w:cs="Times New Roman"/>
                <w:color w:val="#000000"/>
                <w:sz w:val="24"/>
                <w:szCs w:val="24"/>
              </w:rPr>
              <w:t> 4 Особенности квалификации государственных должностей в различных странах.</w:t>
            </w:r>
          </w:p>
          <w:p>
            <w:pPr>
              <w:jc w:val="left"/>
              <w:spacing w:after="0" w:line="240" w:lineRule="auto"/>
              <w:rPr>
                <w:sz w:val="24"/>
                <w:szCs w:val="24"/>
              </w:rPr>
            </w:pPr>
            <w:r>
              <w:rPr>
                <w:rFonts w:ascii="Times New Roman" w:hAnsi="Times New Roman" w:cs="Times New Roman"/>
                <w:color w:val="#000000"/>
                <w:sz w:val="24"/>
                <w:szCs w:val="24"/>
              </w:rPr>
              <w:t> 5 Общее определение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6 Понятие государственного служащего в различных странах. Типология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7 Правовое положение государственного служащего за рубежом.</w:t>
            </w:r>
          </w:p>
          <w:p>
            <w:pPr>
              <w:jc w:val="left"/>
              <w:spacing w:after="0" w:line="240" w:lineRule="auto"/>
              <w:rPr>
                <w:sz w:val="24"/>
                <w:szCs w:val="24"/>
              </w:rPr>
            </w:pPr>
            <w:r>
              <w:rPr>
                <w:rFonts w:ascii="Times New Roman" w:hAnsi="Times New Roman" w:cs="Times New Roman"/>
                <w:color w:val="#000000"/>
                <w:sz w:val="24"/>
                <w:szCs w:val="24"/>
              </w:rPr>
              <w:t> 8 Основные обязанности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9 Права государственных служащих, социальные гарантии.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адаптации западного опыта госслужбы к условиям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изучения западного опыта организации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2 Необходимость международного сотрудничества в области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Принципы изучения западного опыта.</w:t>
            </w:r>
          </w:p>
          <w:p>
            <w:pPr>
              <w:jc w:val="left"/>
              <w:spacing w:after="0" w:line="240" w:lineRule="auto"/>
              <w:rPr>
                <w:sz w:val="24"/>
                <w:szCs w:val="24"/>
              </w:rPr>
            </w:pPr>
            <w:r>
              <w:rPr>
                <w:rFonts w:ascii="Times New Roman" w:hAnsi="Times New Roman" w:cs="Times New Roman"/>
                <w:color w:val="#000000"/>
                <w:sz w:val="24"/>
                <w:szCs w:val="24"/>
              </w:rPr>
              <w:t> 4 Совершенствование системы управления государственной службой Российской Федерации на основе зарубежного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государственной гражданской службы»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https://urait.ru/bcode/483423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978-5-4487-0784-1.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3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2024-2025_ФГОС3++2024_Бак-ОФО-ГМУ(ГМС)(24)_plx_Зарубежный опыт государственной гражданской службы</dc:title>
  <dc:creator>FastReport.NET</dc:creator>
</cp:coreProperties>
</file>